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F4D72" w14:textId="77777777" w:rsidR="002E5AC7" w:rsidRPr="00C665C3" w:rsidRDefault="002E5AC7" w:rsidP="00C665C3">
      <w:pPr>
        <w:jc w:val="both"/>
        <w:rPr>
          <w:rFonts w:ascii="Times New Roman" w:hAnsi="Times New Roman" w:cs="Times New Roman"/>
          <w:b/>
          <w:bCs/>
          <w:sz w:val="28"/>
          <w:szCs w:val="28"/>
        </w:rPr>
      </w:pPr>
      <w:r w:rsidRPr="00C665C3">
        <w:rPr>
          <w:rFonts w:ascii="Times New Roman" w:hAnsi="Times New Roman" w:cs="Times New Roman"/>
          <w:b/>
          <w:bCs/>
          <w:sz w:val="28"/>
          <w:szCs w:val="28"/>
        </w:rPr>
        <w:t>Program vzdelávania na získanie nižšieho stredného vzdelania</w:t>
      </w:r>
    </w:p>
    <w:p w14:paraId="62CADDD6"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Podľa § 31a školského zákona môže základná škola určená príslušným orgánom miestnej štátnej správy v školstve, t. j. regionálny úrad školskej správy v sídle kraja, organizovať program vzdelávania na získanie nižšieho stredného vzdelania (ďalej len „program vzdelávania“) pre </w:t>
      </w:r>
      <w:r w:rsidRPr="0033296C">
        <w:rPr>
          <w:rFonts w:ascii="Times New Roman" w:hAnsi="Times New Roman" w:cs="Times New Roman"/>
          <w:b/>
          <w:bCs/>
          <w:sz w:val="24"/>
          <w:szCs w:val="24"/>
        </w:rPr>
        <w:t>fyzické osoby</w:t>
      </w:r>
      <w:r w:rsidRPr="0033296C">
        <w:rPr>
          <w:rFonts w:ascii="Times New Roman" w:hAnsi="Times New Roman" w:cs="Times New Roman"/>
          <w:sz w:val="24"/>
          <w:szCs w:val="24"/>
        </w:rPr>
        <w:t>, ktoré získali primárne vzdelanie a skončili plnenie povinnej školskej dochádzky bez úspešného získania nižšieho stredného vzdelania.</w:t>
      </w:r>
    </w:p>
    <w:p w14:paraId="1BAD4944" w14:textId="00A3EF60"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Fyzická osoba podáva prihlášku do programu vzdelávania príslušnému regionálnemu úradu školskej správy podľa sídla kraja na formulári </w:t>
      </w:r>
      <w:r w:rsidRPr="0033296C">
        <w:rPr>
          <w:rFonts w:ascii="Times New Roman" w:hAnsi="Times New Roman" w:cs="Times New Roman"/>
          <w:b/>
          <w:bCs/>
          <w:sz w:val="24"/>
          <w:szCs w:val="24"/>
        </w:rPr>
        <w:t>do 15. februára</w:t>
      </w:r>
      <w:r w:rsidRPr="0033296C">
        <w:rPr>
          <w:rFonts w:ascii="Times New Roman" w:hAnsi="Times New Roman" w:cs="Times New Roman"/>
          <w:sz w:val="24"/>
          <w:szCs w:val="24"/>
        </w:rPr>
        <w:t> príslušného kalendárneho roka, v ktorom sa program vzdelávania začne realizovať.</w:t>
      </w:r>
    </w:p>
    <w:p w14:paraId="5A3E656D" w14:textId="57BC2EF2"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b/>
          <w:bCs/>
          <w:sz w:val="24"/>
          <w:szCs w:val="24"/>
        </w:rPr>
        <w:t>Rozsah programu vzdelávania, </w:t>
      </w:r>
      <w:r w:rsidRPr="0033296C">
        <w:rPr>
          <w:rFonts w:ascii="Times New Roman" w:hAnsi="Times New Roman" w:cs="Times New Roman"/>
          <w:sz w:val="24"/>
          <w:szCs w:val="24"/>
        </w:rPr>
        <w:t>t. j. zoznam povinných vyučovacích predmetov a ich celkový počet vyučovacích hodín, určuje rámcový učebný plán ustanovený v dokumente </w:t>
      </w:r>
      <w:r w:rsidRPr="0033296C">
        <w:rPr>
          <w:rFonts w:ascii="Times New Roman" w:hAnsi="Times New Roman" w:cs="Times New Roman"/>
          <w:i/>
          <w:iCs/>
          <w:sz w:val="24"/>
          <w:szCs w:val="24"/>
        </w:rPr>
        <w:t>Rámcové učebné plány a vzdelávacie štandardy vzdelávania na získanie nižšieho stredného vzdelania</w:t>
      </w:r>
      <w:r w:rsidR="00C665C3">
        <w:rPr>
          <w:rFonts w:ascii="Times New Roman" w:hAnsi="Times New Roman" w:cs="Times New Roman"/>
          <w:i/>
          <w:iCs/>
          <w:sz w:val="24"/>
          <w:szCs w:val="24"/>
        </w:rPr>
        <w:t>.</w:t>
      </w:r>
      <w:r w:rsidRPr="0033296C">
        <w:rPr>
          <w:rFonts w:ascii="Times New Roman" w:hAnsi="Times New Roman" w:cs="Times New Roman"/>
          <w:sz w:val="24"/>
          <w:szCs w:val="24"/>
        </w:rPr>
        <w:t> </w:t>
      </w:r>
    </w:p>
    <w:p w14:paraId="26C5E768" w14:textId="2DFD2C03"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b/>
          <w:bCs/>
          <w:sz w:val="24"/>
          <w:szCs w:val="24"/>
        </w:rPr>
        <w:t>Obsah programu vzdelávania</w:t>
      </w:r>
      <w:r w:rsidRPr="0033296C">
        <w:rPr>
          <w:rFonts w:ascii="Times New Roman" w:hAnsi="Times New Roman" w:cs="Times New Roman"/>
          <w:sz w:val="24"/>
          <w:szCs w:val="24"/>
        </w:rPr>
        <w:t> v rámci jednotlivých povinných vyučovacích predmetov vychádza zo vzdelávacích štandardov na získanie nižšieho stredného vzdelania, ustanovené v dokumente </w:t>
      </w:r>
      <w:r w:rsidRPr="0033296C">
        <w:rPr>
          <w:rFonts w:ascii="Times New Roman" w:hAnsi="Times New Roman" w:cs="Times New Roman"/>
          <w:i/>
          <w:iCs/>
          <w:sz w:val="24"/>
          <w:szCs w:val="24"/>
        </w:rPr>
        <w:t>Rámcové učebné plány a vzdelávacie štandardy vzdelávania na získanie nižšieho stredného vzdelania</w:t>
      </w:r>
      <w:r w:rsidR="00C665C3">
        <w:rPr>
          <w:rFonts w:ascii="Times New Roman" w:hAnsi="Times New Roman" w:cs="Times New Roman"/>
          <w:sz w:val="24"/>
          <w:szCs w:val="24"/>
        </w:rPr>
        <w:t>.</w:t>
      </w:r>
    </w:p>
    <w:p w14:paraId="114B4E56"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b/>
          <w:bCs/>
          <w:sz w:val="24"/>
          <w:szCs w:val="24"/>
        </w:rPr>
        <w:t>Organizačnú formu vyučovania</w:t>
      </w:r>
      <w:r w:rsidRPr="0033296C">
        <w:rPr>
          <w:rFonts w:ascii="Times New Roman" w:hAnsi="Times New Roman" w:cs="Times New Roman"/>
          <w:sz w:val="24"/>
          <w:szCs w:val="24"/>
        </w:rPr>
        <w:t> programu vzdelávania si určuje škola.</w:t>
      </w:r>
    </w:p>
    <w:p w14:paraId="1108ECA5"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Uchádzač o získanie nižšieho stredného vzdelania </w:t>
      </w:r>
      <w:r w:rsidRPr="0033296C">
        <w:rPr>
          <w:rFonts w:ascii="Times New Roman" w:hAnsi="Times New Roman" w:cs="Times New Roman"/>
          <w:b/>
          <w:bCs/>
          <w:sz w:val="24"/>
          <w:szCs w:val="24"/>
        </w:rPr>
        <w:t>ukončí program vzdelávania</w:t>
      </w:r>
      <w:r w:rsidRPr="0033296C">
        <w:rPr>
          <w:rFonts w:ascii="Times New Roman" w:hAnsi="Times New Roman" w:cs="Times New Roman"/>
          <w:sz w:val="24"/>
          <w:szCs w:val="24"/>
        </w:rPr>
        <w:t> </w:t>
      </w:r>
      <w:r w:rsidRPr="0033296C">
        <w:rPr>
          <w:rFonts w:ascii="Times New Roman" w:hAnsi="Times New Roman" w:cs="Times New Roman"/>
          <w:b/>
          <w:bCs/>
          <w:sz w:val="24"/>
          <w:szCs w:val="24"/>
        </w:rPr>
        <w:t>vykonaním komisionálnej skúšky</w:t>
      </w:r>
      <w:r w:rsidRPr="0033296C">
        <w:rPr>
          <w:rFonts w:ascii="Times New Roman" w:hAnsi="Times New Roman" w:cs="Times New Roman"/>
          <w:sz w:val="24"/>
          <w:szCs w:val="24"/>
        </w:rPr>
        <w:t> z jednotlivých vyučovacích predmetov po úspešnom absolvovaní programu vzdelávania podľa určeného rozsahu.    </w:t>
      </w:r>
    </w:p>
    <w:p w14:paraId="1E6B40A6"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b/>
          <w:bCs/>
          <w:sz w:val="24"/>
          <w:szCs w:val="24"/>
        </w:rPr>
        <w:t>Komisionálna skúška</w:t>
      </w:r>
    </w:p>
    <w:p w14:paraId="139BD774"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Uchádzač o získanie nižšieho stredného vzdelania vykoná komisionálnu skúšku z vyučovacích predmetov:</w:t>
      </w:r>
    </w:p>
    <w:p w14:paraId="5CA54AFD" w14:textId="007F677C" w:rsidR="002E5AC7" w:rsidRPr="0033296C" w:rsidRDefault="002E5AC7" w:rsidP="00C665C3">
      <w:pPr>
        <w:numPr>
          <w:ilvl w:val="0"/>
          <w:numId w:val="1"/>
        </w:numPr>
        <w:jc w:val="both"/>
        <w:rPr>
          <w:rFonts w:ascii="Times New Roman" w:hAnsi="Times New Roman" w:cs="Times New Roman"/>
          <w:sz w:val="24"/>
          <w:szCs w:val="24"/>
        </w:rPr>
      </w:pPr>
      <w:r w:rsidRPr="0033296C">
        <w:rPr>
          <w:rFonts w:ascii="Times New Roman" w:hAnsi="Times New Roman" w:cs="Times New Roman"/>
          <w:sz w:val="24"/>
          <w:szCs w:val="24"/>
        </w:rPr>
        <w:t>slovenský jazyk a literatúra</w:t>
      </w:r>
    </w:p>
    <w:p w14:paraId="051FF872" w14:textId="68465612" w:rsidR="002E5AC7" w:rsidRPr="0033296C" w:rsidRDefault="002E5AC7" w:rsidP="00C665C3">
      <w:pPr>
        <w:numPr>
          <w:ilvl w:val="0"/>
          <w:numId w:val="1"/>
        </w:numPr>
        <w:jc w:val="both"/>
        <w:rPr>
          <w:rFonts w:ascii="Times New Roman" w:hAnsi="Times New Roman" w:cs="Times New Roman"/>
          <w:sz w:val="24"/>
          <w:szCs w:val="24"/>
        </w:rPr>
      </w:pPr>
      <w:r w:rsidRPr="0033296C">
        <w:rPr>
          <w:rFonts w:ascii="Times New Roman" w:hAnsi="Times New Roman" w:cs="Times New Roman"/>
          <w:sz w:val="24"/>
          <w:szCs w:val="24"/>
        </w:rPr>
        <w:t>cudzí jazyk</w:t>
      </w:r>
      <w:r w:rsidR="00C665C3">
        <w:rPr>
          <w:rFonts w:ascii="Times New Roman" w:hAnsi="Times New Roman" w:cs="Times New Roman"/>
          <w:sz w:val="24"/>
          <w:szCs w:val="24"/>
        </w:rPr>
        <w:t>,</w:t>
      </w:r>
      <w:r w:rsidRPr="0033296C">
        <w:rPr>
          <w:rFonts w:ascii="Times New Roman" w:hAnsi="Times New Roman" w:cs="Times New Roman"/>
          <w:sz w:val="24"/>
          <w:szCs w:val="24"/>
        </w:rPr>
        <w:t xml:space="preserve"> </w:t>
      </w:r>
    </w:p>
    <w:p w14:paraId="368AE610" w14:textId="77777777" w:rsidR="002E5AC7" w:rsidRPr="0033296C" w:rsidRDefault="002E5AC7" w:rsidP="00C665C3">
      <w:pPr>
        <w:numPr>
          <w:ilvl w:val="0"/>
          <w:numId w:val="1"/>
        </w:numPr>
        <w:jc w:val="both"/>
        <w:rPr>
          <w:rFonts w:ascii="Times New Roman" w:hAnsi="Times New Roman" w:cs="Times New Roman"/>
          <w:sz w:val="24"/>
          <w:szCs w:val="24"/>
        </w:rPr>
      </w:pPr>
      <w:r w:rsidRPr="0033296C">
        <w:rPr>
          <w:rFonts w:ascii="Times New Roman" w:hAnsi="Times New Roman" w:cs="Times New Roman"/>
          <w:sz w:val="24"/>
          <w:szCs w:val="24"/>
        </w:rPr>
        <w:t>matematika,</w:t>
      </w:r>
    </w:p>
    <w:p w14:paraId="09A8B395" w14:textId="77777777" w:rsidR="002E5AC7" w:rsidRPr="0033296C" w:rsidRDefault="002E5AC7" w:rsidP="00C665C3">
      <w:pPr>
        <w:numPr>
          <w:ilvl w:val="0"/>
          <w:numId w:val="1"/>
        </w:numPr>
        <w:jc w:val="both"/>
        <w:rPr>
          <w:rFonts w:ascii="Times New Roman" w:hAnsi="Times New Roman" w:cs="Times New Roman"/>
          <w:sz w:val="24"/>
          <w:szCs w:val="24"/>
        </w:rPr>
      </w:pPr>
      <w:r w:rsidRPr="0033296C">
        <w:rPr>
          <w:rFonts w:ascii="Times New Roman" w:hAnsi="Times New Roman" w:cs="Times New Roman"/>
          <w:sz w:val="24"/>
          <w:szCs w:val="24"/>
        </w:rPr>
        <w:t>informatika,</w:t>
      </w:r>
    </w:p>
    <w:p w14:paraId="27FDFE59" w14:textId="77777777" w:rsidR="002E5AC7" w:rsidRPr="0033296C" w:rsidRDefault="002E5AC7" w:rsidP="00C665C3">
      <w:pPr>
        <w:numPr>
          <w:ilvl w:val="0"/>
          <w:numId w:val="1"/>
        </w:numPr>
        <w:jc w:val="both"/>
        <w:rPr>
          <w:rFonts w:ascii="Times New Roman" w:hAnsi="Times New Roman" w:cs="Times New Roman"/>
          <w:sz w:val="24"/>
          <w:szCs w:val="24"/>
        </w:rPr>
      </w:pPr>
      <w:r w:rsidRPr="0033296C">
        <w:rPr>
          <w:rFonts w:ascii="Times New Roman" w:hAnsi="Times New Roman" w:cs="Times New Roman"/>
          <w:sz w:val="24"/>
          <w:szCs w:val="24"/>
        </w:rPr>
        <w:t>človek a príroda (pozostávajúci z oblastí fyzika, chémia, biológia),</w:t>
      </w:r>
    </w:p>
    <w:p w14:paraId="56135E0B" w14:textId="77777777" w:rsidR="002E5AC7" w:rsidRPr="0033296C" w:rsidRDefault="002E5AC7" w:rsidP="00C665C3">
      <w:pPr>
        <w:numPr>
          <w:ilvl w:val="0"/>
          <w:numId w:val="1"/>
        </w:numPr>
        <w:jc w:val="both"/>
        <w:rPr>
          <w:rFonts w:ascii="Times New Roman" w:hAnsi="Times New Roman" w:cs="Times New Roman"/>
          <w:sz w:val="24"/>
          <w:szCs w:val="24"/>
        </w:rPr>
      </w:pPr>
      <w:r w:rsidRPr="0033296C">
        <w:rPr>
          <w:rFonts w:ascii="Times New Roman" w:hAnsi="Times New Roman" w:cs="Times New Roman"/>
          <w:sz w:val="24"/>
          <w:szCs w:val="24"/>
        </w:rPr>
        <w:t>človek a spoločnosť (pozostávajúci z oblastí dejepis, geografia, občianska náuka).</w:t>
      </w:r>
    </w:p>
    <w:p w14:paraId="400BB14D"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Komisionálne skúšky majú ústnu formu, ktorú tvorí ústna odpoveď pred komisiou pre komisionálne skúšky. Komisia pre komisionálne skúšky má najmenej troch členov. Zadania komisionálnej skúšky musia plne rešpektovať vzdelávacie štandardy jednotlivých vyučovacích predmetov.</w:t>
      </w:r>
    </w:p>
    <w:p w14:paraId="1B9DA0A1"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b/>
          <w:bCs/>
          <w:sz w:val="24"/>
          <w:szCs w:val="24"/>
        </w:rPr>
        <w:t>Termín komisionálnej skúšky určuje riaditeľ školy</w:t>
      </w:r>
      <w:r w:rsidRPr="0033296C">
        <w:rPr>
          <w:rFonts w:ascii="Times New Roman" w:hAnsi="Times New Roman" w:cs="Times New Roman"/>
          <w:sz w:val="24"/>
          <w:szCs w:val="24"/>
        </w:rPr>
        <w:t>.</w:t>
      </w:r>
    </w:p>
    <w:p w14:paraId="0928092C"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V jeden deň môže vykonať žiak komisionálne skúšky najviac z dvoch vyučovacích predmetov; z viac ako z dvoch vyučovacích predmetov ich môže vykonať, ak s tým zákonný zástupca neplnoletého žiaka, zástupca zariadenia alebo plnoletý žiak súhlasí.</w:t>
      </w:r>
    </w:p>
    <w:p w14:paraId="5FF497CD"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lastRenderedPageBreak/>
        <w:t>S účinnosťou od 1. januára 2026 platí, že ak žiak neprospel v komisionálnej skúške z niektorého vyučovacieho predmetu</w:t>
      </w:r>
      <w:r w:rsidRPr="0033296C">
        <w:rPr>
          <w:rFonts w:ascii="Times New Roman" w:hAnsi="Times New Roman" w:cs="Times New Roman"/>
          <w:b/>
          <w:bCs/>
          <w:sz w:val="24"/>
          <w:szCs w:val="24"/>
        </w:rPr>
        <w:t>, riaditeľ školy mu môže povoliť jedno opakovanie komisionálnej skúšky z daného vyučovacieho predmetu, ktoré sa uskutoční do šiestich mesiacov od neúspešného vykonania komisionálnej skúšky; výsledok opakovanej komisionálnej skúšky je následne pre hodnotenie žiaka konečný</w:t>
      </w:r>
      <w:r w:rsidRPr="0033296C">
        <w:rPr>
          <w:rFonts w:ascii="Times New Roman" w:hAnsi="Times New Roman" w:cs="Times New Roman"/>
          <w:sz w:val="24"/>
          <w:szCs w:val="24"/>
        </w:rPr>
        <w:t>.</w:t>
      </w:r>
    </w:p>
    <w:p w14:paraId="457083DD"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Absolventi vzdelávania získajú kompetencie potrebné na pokračovanie v ďalšom vzdelávaní a/alebo uplatnenie sa na trhu práce, najmä:</w:t>
      </w:r>
    </w:p>
    <w:p w14:paraId="087FA0D0" w14:textId="77777777" w:rsidR="002E5AC7" w:rsidRPr="0033296C" w:rsidRDefault="002E5AC7" w:rsidP="00C665C3">
      <w:pPr>
        <w:numPr>
          <w:ilvl w:val="0"/>
          <w:numId w:val="2"/>
        </w:numPr>
        <w:jc w:val="both"/>
        <w:rPr>
          <w:rFonts w:ascii="Times New Roman" w:hAnsi="Times New Roman" w:cs="Times New Roman"/>
          <w:sz w:val="24"/>
          <w:szCs w:val="24"/>
        </w:rPr>
      </w:pPr>
      <w:r w:rsidRPr="0033296C">
        <w:rPr>
          <w:rFonts w:ascii="Times New Roman" w:hAnsi="Times New Roman" w:cs="Times New Roman"/>
          <w:sz w:val="24"/>
          <w:szCs w:val="24"/>
        </w:rPr>
        <w:t>primeranú úroveň komunikačných zručností a schopností reagovať v rôznych (životných) situáciách,</w:t>
      </w:r>
    </w:p>
    <w:p w14:paraId="2348F1C7" w14:textId="77777777" w:rsidR="002E5AC7" w:rsidRPr="0033296C" w:rsidRDefault="002E5AC7" w:rsidP="00C665C3">
      <w:pPr>
        <w:numPr>
          <w:ilvl w:val="0"/>
          <w:numId w:val="2"/>
        </w:numPr>
        <w:jc w:val="both"/>
        <w:rPr>
          <w:rFonts w:ascii="Times New Roman" w:hAnsi="Times New Roman" w:cs="Times New Roman"/>
          <w:sz w:val="24"/>
          <w:szCs w:val="24"/>
        </w:rPr>
      </w:pPr>
      <w:r w:rsidRPr="0033296C">
        <w:rPr>
          <w:rFonts w:ascii="Times New Roman" w:hAnsi="Times New Roman" w:cs="Times New Roman"/>
          <w:sz w:val="24"/>
          <w:szCs w:val="24"/>
        </w:rPr>
        <w:t>schopnosť efektívne spolupracovať,</w:t>
      </w:r>
    </w:p>
    <w:p w14:paraId="40702B32" w14:textId="77777777" w:rsidR="002E5AC7" w:rsidRPr="0033296C" w:rsidRDefault="002E5AC7" w:rsidP="00C665C3">
      <w:pPr>
        <w:numPr>
          <w:ilvl w:val="0"/>
          <w:numId w:val="2"/>
        </w:numPr>
        <w:jc w:val="both"/>
        <w:rPr>
          <w:rFonts w:ascii="Times New Roman" w:hAnsi="Times New Roman" w:cs="Times New Roman"/>
          <w:sz w:val="24"/>
          <w:szCs w:val="24"/>
        </w:rPr>
      </w:pPr>
      <w:r w:rsidRPr="0033296C">
        <w:rPr>
          <w:rFonts w:ascii="Times New Roman" w:hAnsi="Times New Roman" w:cs="Times New Roman"/>
          <w:sz w:val="24"/>
          <w:szCs w:val="24"/>
        </w:rPr>
        <w:t>schopnosť osvojiť si a využívať (osobne) efektívne stratégie učenia sa v súlade so svojimi reálnymi možnosťami,</w:t>
      </w:r>
    </w:p>
    <w:p w14:paraId="2A35F714" w14:textId="77777777" w:rsidR="002E5AC7" w:rsidRPr="0033296C" w:rsidRDefault="002E5AC7" w:rsidP="00C665C3">
      <w:pPr>
        <w:numPr>
          <w:ilvl w:val="0"/>
          <w:numId w:val="2"/>
        </w:numPr>
        <w:jc w:val="both"/>
        <w:rPr>
          <w:rFonts w:ascii="Times New Roman" w:hAnsi="Times New Roman" w:cs="Times New Roman"/>
          <w:sz w:val="24"/>
          <w:szCs w:val="24"/>
        </w:rPr>
      </w:pPr>
      <w:r w:rsidRPr="0033296C">
        <w:rPr>
          <w:rFonts w:ascii="Times New Roman" w:hAnsi="Times New Roman" w:cs="Times New Roman"/>
          <w:sz w:val="24"/>
          <w:szCs w:val="24"/>
        </w:rPr>
        <w:t>schopnosť vyhľadať (prostredníctvom nových IKT) nové/potrebné informácie a vedieť ich spracovať/využiť,</w:t>
      </w:r>
    </w:p>
    <w:p w14:paraId="735492E7" w14:textId="77777777" w:rsidR="002E5AC7" w:rsidRPr="0033296C" w:rsidRDefault="002E5AC7" w:rsidP="00C665C3">
      <w:pPr>
        <w:numPr>
          <w:ilvl w:val="0"/>
          <w:numId w:val="2"/>
        </w:numPr>
        <w:jc w:val="both"/>
        <w:rPr>
          <w:rFonts w:ascii="Times New Roman" w:hAnsi="Times New Roman" w:cs="Times New Roman"/>
          <w:sz w:val="24"/>
          <w:szCs w:val="24"/>
        </w:rPr>
      </w:pPr>
      <w:r w:rsidRPr="0033296C">
        <w:rPr>
          <w:rFonts w:ascii="Times New Roman" w:hAnsi="Times New Roman" w:cs="Times New Roman"/>
          <w:sz w:val="24"/>
          <w:szCs w:val="24"/>
        </w:rPr>
        <w:t>schopnosť orientovať sa v súčasnom svete,</w:t>
      </w:r>
    </w:p>
    <w:p w14:paraId="0E94A38E" w14:textId="77777777" w:rsidR="002E5AC7" w:rsidRPr="0033296C" w:rsidRDefault="002E5AC7" w:rsidP="00C665C3">
      <w:pPr>
        <w:numPr>
          <w:ilvl w:val="0"/>
          <w:numId w:val="2"/>
        </w:numPr>
        <w:jc w:val="both"/>
        <w:rPr>
          <w:rFonts w:ascii="Times New Roman" w:hAnsi="Times New Roman" w:cs="Times New Roman"/>
          <w:sz w:val="24"/>
          <w:szCs w:val="24"/>
        </w:rPr>
      </w:pPr>
      <w:r w:rsidRPr="0033296C">
        <w:rPr>
          <w:rFonts w:ascii="Times New Roman" w:hAnsi="Times New Roman" w:cs="Times New Roman"/>
          <w:sz w:val="24"/>
          <w:szCs w:val="24"/>
        </w:rPr>
        <w:t>schopnosť zaujať stanovisko k (svojim) právam a povinnostiam v občianskom a pracovnom živote.</w:t>
      </w:r>
    </w:p>
    <w:p w14:paraId="775326F8" w14:textId="77777777" w:rsidR="002E5AC7" w:rsidRPr="0033296C" w:rsidRDefault="002E5AC7" w:rsidP="00C665C3">
      <w:pPr>
        <w:jc w:val="both"/>
        <w:rPr>
          <w:rFonts w:ascii="Times New Roman" w:hAnsi="Times New Roman" w:cs="Times New Roman"/>
          <w:sz w:val="24"/>
          <w:szCs w:val="24"/>
        </w:rPr>
      </w:pPr>
      <w:r w:rsidRPr="0033296C">
        <w:rPr>
          <w:rFonts w:ascii="Times New Roman" w:hAnsi="Times New Roman" w:cs="Times New Roman"/>
          <w:b/>
          <w:bCs/>
          <w:sz w:val="24"/>
          <w:szCs w:val="24"/>
        </w:rPr>
        <w:t>Doklad o získanom vzdelaní</w:t>
      </w:r>
    </w:p>
    <w:p w14:paraId="4C0AF4A0" w14:textId="77777777" w:rsidR="002E5AC7" w:rsidRDefault="002E5AC7" w:rsidP="00C665C3">
      <w:pPr>
        <w:jc w:val="both"/>
        <w:rPr>
          <w:rFonts w:ascii="Times New Roman" w:hAnsi="Times New Roman" w:cs="Times New Roman"/>
          <w:sz w:val="24"/>
          <w:szCs w:val="24"/>
        </w:rPr>
      </w:pPr>
      <w:r w:rsidRPr="0033296C">
        <w:rPr>
          <w:rFonts w:ascii="Times New Roman" w:hAnsi="Times New Roman" w:cs="Times New Roman"/>
          <w:sz w:val="24"/>
          <w:szCs w:val="24"/>
        </w:rPr>
        <w:t>Dokladom o získanom vzdelaní je vysvedčenie, ktoré absolventovi vydá škola po úspešnom absolvovaní komisionálnych skúšok zo všetkých vyučovacích predmetov.</w:t>
      </w:r>
    </w:p>
    <w:p w14:paraId="23B6D52A" w14:textId="77777777" w:rsidR="003F58E9" w:rsidRPr="0033296C" w:rsidRDefault="003F58E9" w:rsidP="00C665C3">
      <w:pPr>
        <w:jc w:val="both"/>
        <w:rPr>
          <w:rFonts w:ascii="Times New Roman" w:hAnsi="Times New Roman" w:cs="Times New Roman"/>
          <w:sz w:val="24"/>
          <w:szCs w:val="24"/>
        </w:rPr>
      </w:pPr>
    </w:p>
    <w:p w14:paraId="5002561E" w14:textId="6E47B520" w:rsidR="00463A51" w:rsidRPr="0033296C" w:rsidRDefault="003F58E9" w:rsidP="00C665C3">
      <w:pPr>
        <w:jc w:val="both"/>
        <w:rPr>
          <w:rFonts w:ascii="Times New Roman" w:hAnsi="Times New Roman" w:cs="Times New Roman"/>
          <w:sz w:val="24"/>
          <w:szCs w:val="24"/>
        </w:rPr>
      </w:pPr>
      <w:r>
        <w:rPr>
          <w:rFonts w:ascii="Times New Roman" w:hAnsi="Times New Roman" w:cs="Times New Roman"/>
          <w:sz w:val="24"/>
          <w:szCs w:val="24"/>
        </w:rPr>
        <w:object w:dxaOrig="1541" w:dyaOrig="993" w14:anchorId="3FCD35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5" o:title=""/>
          </v:shape>
          <o:OLEObject Type="Embed" ProgID="Acrobat.Document.DC" ShapeID="_x0000_i1025" DrawAspect="Icon" ObjectID="_1850271709" r:id="rId6"/>
        </w:object>
      </w:r>
      <w:r>
        <w:rPr>
          <w:rFonts w:ascii="Times New Roman" w:hAnsi="Times New Roman" w:cs="Times New Roman"/>
          <w:sz w:val="24"/>
          <w:szCs w:val="24"/>
        </w:rPr>
        <w:t xml:space="preserve">    </w:t>
      </w:r>
      <w:r>
        <w:rPr>
          <w:rFonts w:ascii="Times New Roman" w:hAnsi="Times New Roman" w:cs="Times New Roman"/>
          <w:sz w:val="24"/>
          <w:szCs w:val="24"/>
        </w:rPr>
        <w:object w:dxaOrig="1541" w:dyaOrig="993" w14:anchorId="4F1FE10D">
          <v:shape id="_x0000_i1026" type="#_x0000_t75" style="width:77.25pt;height:49.5pt" o:ole="">
            <v:imagedata r:id="rId7" o:title=""/>
          </v:shape>
          <o:OLEObject Type="Embed" ProgID="Acrobat.Document.DC" ShapeID="_x0000_i1026" DrawAspect="Icon" ObjectID="_1850271710" r:id="rId8"/>
        </w:object>
      </w:r>
    </w:p>
    <w:sectPr w:rsidR="00463A51" w:rsidRPr="003329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E4181"/>
    <w:multiLevelType w:val="multilevel"/>
    <w:tmpl w:val="55225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127FFD"/>
    <w:multiLevelType w:val="multilevel"/>
    <w:tmpl w:val="A18C0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0346683">
    <w:abstractNumId w:val="1"/>
  </w:num>
  <w:num w:numId="2" w16cid:durableId="2014604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AC7"/>
    <w:rsid w:val="001502DE"/>
    <w:rsid w:val="002E5AC7"/>
    <w:rsid w:val="0033296C"/>
    <w:rsid w:val="003F58E9"/>
    <w:rsid w:val="00463A51"/>
    <w:rsid w:val="006A07CF"/>
    <w:rsid w:val="00AB18A5"/>
    <w:rsid w:val="00C665C3"/>
    <w:rsid w:val="00DE0098"/>
    <w:rsid w:val="00F53FD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4F6CD"/>
  <w15:chartTrackingRefBased/>
  <w15:docId w15:val="{DD9802FC-905C-4C04-99C0-2EAFEC5B6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E5AC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Nadpis2">
    <w:name w:val="heading 2"/>
    <w:basedOn w:val="Normlny"/>
    <w:next w:val="Normlny"/>
    <w:link w:val="Nadpis2Char"/>
    <w:uiPriority w:val="9"/>
    <w:semiHidden/>
    <w:unhideWhenUsed/>
    <w:qFormat/>
    <w:rsid w:val="002E5AC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y"/>
    <w:next w:val="Normlny"/>
    <w:link w:val="Nadpis3Char"/>
    <w:uiPriority w:val="9"/>
    <w:semiHidden/>
    <w:unhideWhenUsed/>
    <w:qFormat/>
    <w:rsid w:val="002E5AC7"/>
    <w:pPr>
      <w:keepNext/>
      <w:keepLines/>
      <w:spacing w:before="160" w:after="80"/>
      <w:outlineLvl w:val="2"/>
    </w:pPr>
    <w:rPr>
      <w:rFonts w:eastAsiaTheme="majorEastAsia" w:cstheme="majorBidi"/>
      <w:color w:val="2E74B5" w:themeColor="accent1" w:themeShade="BF"/>
      <w:sz w:val="28"/>
      <w:szCs w:val="28"/>
    </w:rPr>
  </w:style>
  <w:style w:type="paragraph" w:styleId="Nadpis4">
    <w:name w:val="heading 4"/>
    <w:basedOn w:val="Normlny"/>
    <w:next w:val="Normlny"/>
    <w:link w:val="Nadpis4Char"/>
    <w:uiPriority w:val="9"/>
    <w:semiHidden/>
    <w:unhideWhenUsed/>
    <w:qFormat/>
    <w:rsid w:val="002E5AC7"/>
    <w:pPr>
      <w:keepNext/>
      <w:keepLines/>
      <w:spacing w:before="80" w:after="40"/>
      <w:outlineLvl w:val="3"/>
    </w:pPr>
    <w:rPr>
      <w:rFonts w:eastAsiaTheme="majorEastAsia" w:cstheme="majorBidi"/>
      <w:i/>
      <w:iCs/>
      <w:color w:val="2E74B5" w:themeColor="accent1" w:themeShade="BF"/>
    </w:rPr>
  </w:style>
  <w:style w:type="paragraph" w:styleId="Nadpis5">
    <w:name w:val="heading 5"/>
    <w:basedOn w:val="Normlny"/>
    <w:next w:val="Normlny"/>
    <w:link w:val="Nadpis5Char"/>
    <w:uiPriority w:val="9"/>
    <w:semiHidden/>
    <w:unhideWhenUsed/>
    <w:qFormat/>
    <w:rsid w:val="002E5AC7"/>
    <w:pPr>
      <w:keepNext/>
      <w:keepLines/>
      <w:spacing w:before="80" w:after="40"/>
      <w:outlineLvl w:val="4"/>
    </w:pPr>
    <w:rPr>
      <w:rFonts w:eastAsiaTheme="majorEastAsia" w:cstheme="majorBidi"/>
      <w:color w:val="2E74B5" w:themeColor="accent1" w:themeShade="BF"/>
    </w:rPr>
  </w:style>
  <w:style w:type="paragraph" w:styleId="Nadpis6">
    <w:name w:val="heading 6"/>
    <w:basedOn w:val="Normlny"/>
    <w:next w:val="Normlny"/>
    <w:link w:val="Nadpis6Char"/>
    <w:uiPriority w:val="9"/>
    <w:semiHidden/>
    <w:unhideWhenUsed/>
    <w:qFormat/>
    <w:rsid w:val="002E5AC7"/>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E5AC7"/>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E5AC7"/>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E5AC7"/>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E5AC7"/>
    <w:rPr>
      <w:rFonts w:asciiTheme="majorHAnsi" w:eastAsiaTheme="majorEastAsia" w:hAnsiTheme="majorHAnsi" w:cstheme="majorBidi"/>
      <w:color w:val="2E74B5" w:themeColor="accent1" w:themeShade="BF"/>
      <w:sz w:val="40"/>
      <w:szCs w:val="40"/>
    </w:rPr>
  </w:style>
  <w:style w:type="character" w:customStyle="1" w:styleId="Nadpis2Char">
    <w:name w:val="Nadpis 2 Char"/>
    <w:basedOn w:val="Predvolenpsmoodseku"/>
    <w:link w:val="Nadpis2"/>
    <w:uiPriority w:val="9"/>
    <w:semiHidden/>
    <w:rsid w:val="002E5AC7"/>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Predvolenpsmoodseku"/>
    <w:link w:val="Nadpis3"/>
    <w:uiPriority w:val="9"/>
    <w:semiHidden/>
    <w:rsid w:val="002E5AC7"/>
    <w:rPr>
      <w:rFonts w:eastAsiaTheme="majorEastAsia" w:cstheme="majorBidi"/>
      <w:color w:val="2E74B5" w:themeColor="accent1" w:themeShade="BF"/>
      <w:sz w:val="28"/>
      <w:szCs w:val="28"/>
    </w:rPr>
  </w:style>
  <w:style w:type="character" w:customStyle="1" w:styleId="Nadpis4Char">
    <w:name w:val="Nadpis 4 Char"/>
    <w:basedOn w:val="Predvolenpsmoodseku"/>
    <w:link w:val="Nadpis4"/>
    <w:uiPriority w:val="9"/>
    <w:semiHidden/>
    <w:rsid w:val="002E5AC7"/>
    <w:rPr>
      <w:rFonts w:eastAsiaTheme="majorEastAsia" w:cstheme="majorBidi"/>
      <w:i/>
      <w:iCs/>
      <w:color w:val="2E74B5" w:themeColor="accent1" w:themeShade="BF"/>
    </w:rPr>
  </w:style>
  <w:style w:type="character" w:customStyle="1" w:styleId="Nadpis5Char">
    <w:name w:val="Nadpis 5 Char"/>
    <w:basedOn w:val="Predvolenpsmoodseku"/>
    <w:link w:val="Nadpis5"/>
    <w:uiPriority w:val="9"/>
    <w:semiHidden/>
    <w:rsid w:val="002E5AC7"/>
    <w:rPr>
      <w:rFonts w:eastAsiaTheme="majorEastAsia" w:cstheme="majorBidi"/>
      <w:color w:val="2E74B5" w:themeColor="accent1" w:themeShade="BF"/>
    </w:rPr>
  </w:style>
  <w:style w:type="character" w:customStyle="1" w:styleId="Nadpis6Char">
    <w:name w:val="Nadpis 6 Char"/>
    <w:basedOn w:val="Predvolenpsmoodseku"/>
    <w:link w:val="Nadpis6"/>
    <w:uiPriority w:val="9"/>
    <w:semiHidden/>
    <w:rsid w:val="002E5AC7"/>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E5AC7"/>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E5AC7"/>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E5AC7"/>
    <w:rPr>
      <w:rFonts w:eastAsiaTheme="majorEastAsia" w:cstheme="majorBidi"/>
      <w:color w:val="272727" w:themeColor="text1" w:themeTint="D8"/>
    </w:rPr>
  </w:style>
  <w:style w:type="paragraph" w:styleId="Nzov">
    <w:name w:val="Title"/>
    <w:basedOn w:val="Normlny"/>
    <w:next w:val="Normlny"/>
    <w:link w:val="NzovChar"/>
    <w:uiPriority w:val="10"/>
    <w:qFormat/>
    <w:rsid w:val="002E5A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E5AC7"/>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E5AC7"/>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E5AC7"/>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E5AC7"/>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E5AC7"/>
    <w:rPr>
      <w:i/>
      <w:iCs/>
      <w:color w:val="404040" w:themeColor="text1" w:themeTint="BF"/>
    </w:rPr>
  </w:style>
  <w:style w:type="paragraph" w:styleId="Odsekzoznamu">
    <w:name w:val="List Paragraph"/>
    <w:basedOn w:val="Normlny"/>
    <w:uiPriority w:val="34"/>
    <w:qFormat/>
    <w:rsid w:val="002E5AC7"/>
    <w:pPr>
      <w:ind w:left="720"/>
      <w:contextualSpacing/>
    </w:pPr>
  </w:style>
  <w:style w:type="character" w:styleId="Intenzvnezvraznenie">
    <w:name w:val="Intense Emphasis"/>
    <w:basedOn w:val="Predvolenpsmoodseku"/>
    <w:uiPriority w:val="21"/>
    <w:qFormat/>
    <w:rsid w:val="002E5AC7"/>
    <w:rPr>
      <w:i/>
      <w:iCs/>
      <w:color w:val="2E74B5" w:themeColor="accent1" w:themeShade="BF"/>
    </w:rPr>
  </w:style>
  <w:style w:type="paragraph" w:styleId="Zvraznencitcia">
    <w:name w:val="Intense Quote"/>
    <w:basedOn w:val="Normlny"/>
    <w:next w:val="Normlny"/>
    <w:link w:val="ZvraznencitciaChar"/>
    <w:uiPriority w:val="30"/>
    <w:qFormat/>
    <w:rsid w:val="002E5AC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ZvraznencitciaChar">
    <w:name w:val="Zvýraznená citácia Char"/>
    <w:basedOn w:val="Predvolenpsmoodseku"/>
    <w:link w:val="Zvraznencitcia"/>
    <w:uiPriority w:val="30"/>
    <w:rsid w:val="002E5AC7"/>
    <w:rPr>
      <w:i/>
      <w:iCs/>
      <w:color w:val="2E74B5" w:themeColor="accent1" w:themeShade="BF"/>
    </w:rPr>
  </w:style>
  <w:style w:type="character" w:styleId="Zvraznenodkaz">
    <w:name w:val="Intense Reference"/>
    <w:basedOn w:val="Predvolenpsmoodseku"/>
    <w:uiPriority w:val="32"/>
    <w:qFormat/>
    <w:rsid w:val="002E5AC7"/>
    <w:rPr>
      <w:b/>
      <w:bCs/>
      <w:smallCaps/>
      <w:color w:val="2E74B5" w:themeColor="accent1" w:themeShade="BF"/>
      <w:spacing w:val="5"/>
    </w:rPr>
  </w:style>
  <w:style w:type="character" w:styleId="Hypertextovprepojenie">
    <w:name w:val="Hyperlink"/>
    <w:basedOn w:val="Predvolenpsmoodseku"/>
    <w:uiPriority w:val="99"/>
    <w:unhideWhenUsed/>
    <w:rsid w:val="002E5AC7"/>
    <w:rPr>
      <w:color w:val="0563C1" w:themeColor="hyperlink"/>
      <w:u w:val="single"/>
    </w:rPr>
  </w:style>
  <w:style w:type="character" w:styleId="Nevyrieenzmienka">
    <w:name w:val="Unresolved Mention"/>
    <w:basedOn w:val="Predvolenpsmoodseku"/>
    <w:uiPriority w:val="99"/>
    <w:semiHidden/>
    <w:unhideWhenUsed/>
    <w:rsid w:val="002E5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553</Words>
  <Characters>3153</Characters>
  <Application>Microsoft Office Word</Application>
  <DocSecurity>0</DocSecurity>
  <Lines>26</Lines>
  <Paragraphs>7</Paragraphs>
  <ScaleCrop>false</ScaleCrop>
  <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Križanová</dc:creator>
  <cp:keywords/>
  <dc:description/>
  <cp:lastModifiedBy>Tatiana Križanová</cp:lastModifiedBy>
  <cp:revision>7</cp:revision>
  <dcterms:created xsi:type="dcterms:W3CDTF">2026-09-04T09:30:00Z</dcterms:created>
  <dcterms:modified xsi:type="dcterms:W3CDTF">2026-09-07T05:35:00Z</dcterms:modified>
</cp:coreProperties>
</file>